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2DB4">
      <w:pPr>
        <w:spacing w:after="120" w:afterLines="50"/>
        <w:jc w:val="center"/>
        <w:rPr>
          <w:rFonts w:eastAsia="黑体"/>
          <w:b/>
          <w:snapToGrid w:val="0"/>
          <w:color w:val="000000"/>
          <w:spacing w:val="4"/>
          <w:kern w:val="15"/>
          <w:sz w:val="36"/>
          <w:szCs w:val="36"/>
          <w:highlight w:val="none"/>
        </w:rPr>
      </w:pPr>
      <w:r>
        <w:rPr>
          <w:rFonts w:eastAsia="黑体"/>
          <w:b/>
          <w:snapToGrid w:val="0"/>
          <w:color w:val="000000"/>
          <w:spacing w:val="4"/>
          <w:kern w:val="15"/>
          <w:sz w:val="36"/>
          <w:szCs w:val="36"/>
          <w:highlight w:val="none"/>
        </w:rPr>
        <w:t>苗木采购合同</w:t>
      </w:r>
    </w:p>
    <w:p w14:paraId="19478835">
      <w:pPr>
        <w:pStyle w:val="7"/>
        <w:shd w:val="clear" w:color="auto" w:fill="FFFFFF"/>
        <w:spacing w:before="0" w:beforeAutospacing="0" w:after="0" w:afterAutospacing="0" w:line="400" w:lineRule="exact"/>
        <w:rPr>
          <w:rFonts w:hint="default"/>
          <w:color w:val="000000"/>
          <w:sz w:val="21"/>
          <w:szCs w:val="21"/>
          <w:highlight w:val="none"/>
        </w:rPr>
      </w:pPr>
    </w:p>
    <w:p w14:paraId="4345C0FB">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甲方：</w:t>
      </w:r>
      <w:r>
        <w:rPr>
          <w:color w:val="000000"/>
          <w:sz w:val="21"/>
          <w:szCs w:val="21"/>
          <w:highlight w:val="none"/>
          <w:u w:val="single"/>
        </w:rPr>
        <w:t xml:space="preserve"> </w:t>
      </w:r>
      <w:r>
        <w:rPr>
          <w:rFonts w:hint="default"/>
          <w:color w:val="000000"/>
          <w:sz w:val="21"/>
          <w:szCs w:val="21"/>
          <w:highlight w:val="none"/>
          <w:u w:val="single"/>
        </w:rPr>
        <w:t xml:space="preserve">    重庆市林业投资开发有限责任公司</w:t>
      </w:r>
      <w:r>
        <w:rPr>
          <w:color w:val="000000"/>
          <w:sz w:val="21"/>
          <w:szCs w:val="21"/>
          <w:highlight w:val="none"/>
          <w:u w:val="single"/>
        </w:rPr>
        <w:t xml:space="preserve"> </w:t>
      </w:r>
      <w:r>
        <w:rPr>
          <w:rFonts w:hint="default"/>
          <w:color w:val="000000"/>
          <w:sz w:val="21"/>
          <w:szCs w:val="21"/>
          <w:highlight w:val="none"/>
          <w:u w:val="single"/>
        </w:rPr>
        <w:t xml:space="preserve">    </w:t>
      </w:r>
    </w:p>
    <w:p w14:paraId="577B1F61">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rFonts w:hint="default"/>
          <w:color w:val="000000"/>
          <w:sz w:val="21"/>
          <w:szCs w:val="21"/>
          <w:highlight w:val="none"/>
          <w:u w:val="single"/>
        </w:rPr>
        <w:t>重庆市</w:t>
      </w:r>
      <w:r>
        <w:rPr>
          <w:rFonts w:hint="eastAsia"/>
          <w:color w:val="000000"/>
          <w:sz w:val="21"/>
          <w:szCs w:val="21"/>
          <w:highlight w:val="none"/>
          <w:u w:val="single"/>
          <w:lang w:val="en-US" w:eastAsia="zh-CN"/>
        </w:rPr>
        <w:t>两江新区</w:t>
      </w:r>
      <w:r>
        <w:rPr>
          <w:rFonts w:hint="default"/>
          <w:color w:val="000000"/>
          <w:sz w:val="21"/>
          <w:szCs w:val="21"/>
          <w:highlight w:val="none"/>
          <w:u w:val="single"/>
        </w:rPr>
        <w:t>余溪路158号春玺苑写字楼3号</w:t>
      </w:r>
    </w:p>
    <w:p w14:paraId="1F1B990B">
      <w:pPr>
        <w:pStyle w:val="7"/>
        <w:shd w:val="clear" w:color="auto" w:fill="FFFFFF"/>
        <w:spacing w:before="0" w:beforeAutospacing="0" w:after="0" w:afterAutospacing="0" w:line="400" w:lineRule="exact"/>
        <w:rPr>
          <w:rFonts w:hint="default"/>
          <w:color w:val="000000"/>
          <w:sz w:val="21"/>
          <w:szCs w:val="21"/>
          <w:highlight w:val="none"/>
          <w:u w:val="single"/>
        </w:rPr>
      </w:pPr>
      <w:r>
        <w:rPr>
          <w:color w:val="000000"/>
          <w:sz w:val="21"/>
          <w:szCs w:val="21"/>
          <w:highlight w:val="none"/>
        </w:rPr>
        <w:t>联系人及</w:t>
      </w:r>
      <w:r>
        <w:rPr>
          <w:rFonts w:hint="default"/>
          <w:color w:val="000000"/>
          <w:sz w:val="21"/>
          <w:szCs w:val="21"/>
          <w:highlight w:val="none"/>
        </w:rPr>
        <w:t>联系电话：</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董老师 （023）81039593</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default"/>
          <w:color w:val="000000"/>
          <w:sz w:val="21"/>
          <w:szCs w:val="21"/>
          <w:highlight w:val="none"/>
          <w:u w:val="single"/>
        </w:rPr>
        <w:t xml:space="preserve"> </w:t>
      </w:r>
    </w:p>
    <w:p w14:paraId="09330DB6">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乙方：</w:t>
      </w:r>
      <w:r>
        <w:rPr>
          <w:color w:val="000000"/>
          <w:sz w:val="21"/>
          <w:szCs w:val="21"/>
          <w:highlight w:val="none"/>
          <w:u w:val="single"/>
        </w:rPr>
        <w:t xml:space="preserve"> </w:t>
      </w:r>
      <w:r>
        <w:rPr>
          <w:rFonts w:hint="default"/>
          <w:color w:val="000000"/>
          <w:sz w:val="21"/>
          <w:szCs w:val="21"/>
          <w:highlight w:val="none"/>
          <w:u w:val="single"/>
        </w:rPr>
        <w:t xml:space="preserve">                                       </w:t>
      </w:r>
    </w:p>
    <w:p w14:paraId="424BA3F5">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color w:val="000000"/>
          <w:sz w:val="21"/>
          <w:szCs w:val="21"/>
          <w:highlight w:val="none"/>
          <w:u w:val="single"/>
        </w:rPr>
        <w:t xml:space="preserve"> </w:t>
      </w:r>
      <w:r>
        <w:rPr>
          <w:rFonts w:hint="default"/>
          <w:color w:val="000000"/>
          <w:sz w:val="21"/>
          <w:szCs w:val="21"/>
          <w:highlight w:val="none"/>
          <w:u w:val="single"/>
        </w:rPr>
        <w:t xml:space="preserve">                                       </w:t>
      </w:r>
      <w:bookmarkStart w:id="0" w:name="_GoBack"/>
      <w:bookmarkEnd w:id="0"/>
    </w:p>
    <w:p w14:paraId="700DD686">
      <w:pPr>
        <w:pStyle w:val="7"/>
        <w:shd w:val="clear" w:color="auto" w:fill="FFFFFF"/>
        <w:spacing w:before="0" w:beforeAutospacing="0" w:after="0" w:afterAutospacing="0" w:line="400" w:lineRule="exact"/>
        <w:rPr>
          <w:rFonts w:hint="default"/>
          <w:color w:val="000000"/>
          <w:sz w:val="21"/>
          <w:szCs w:val="21"/>
          <w:highlight w:val="none"/>
        </w:rPr>
      </w:pPr>
      <w:r>
        <w:rPr>
          <w:rFonts w:hint="default"/>
          <w:color w:val="000000"/>
          <w:sz w:val="21"/>
          <w:szCs w:val="21"/>
          <w:highlight w:val="none"/>
        </w:rPr>
        <w:t>联系人及电话：</w:t>
      </w:r>
      <w:r>
        <w:rPr>
          <w:color w:val="000000"/>
          <w:sz w:val="21"/>
          <w:szCs w:val="21"/>
          <w:highlight w:val="none"/>
          <w:u w:val="single"/>
        </w:rPr>
        <w:t xml:space="preserve"> </w:t>
      </w:r>
      <w:r>
        <w:rPr>
          <w:rFonts w:hint="default"/>
          <w:color w:val="000000"/>
          <w:sz w:val="21"/>
          <w:szCs w:val="21"/>
          <w:highlight w:val="none"/>
          <w:u w:val="single"/>
        </w:rPr>
        <w:t xml:space="preserve">                               </w:t>
      </w:r>
    </w:p>
    <w:p w14:paraId="4D1A490D">
      <w:pPr>
        <w:pStyle w:val="7"/>
        <w:shd w:val="clear" w:color="auto" w:fill="FFFFFF"/>
        <w:spacing w:before="0" w:beforeAutospacing="0" w:after="0" w:afterAutospacing="0" w:line="400" w:lineRule="exact"/>
        <w:rPr>
          <w:rFonts w:hint="default"/>
          <w:color w:val="000000"/>
          <w:sz w:val="21"/>
          <w:szCs w:val="21"/>
          <w:highlight w:val="none"/>
        </w:rPr>
      </w:pPr>
    </w:p>
    <w:p w14:paraId="2E418053">
      <w:pPr>
        <w:pStyle w:val="7"/>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根据《中华人民共和国民法典》及国家有关法律法规，</w:t>
      </w:r>
      <w:r>
        <w:rPr>
          <w:rFonts w:hint="default"/>
          <w:color w:val="000000"/>
          <w:sz w:val="21"/>
          <w:szCs w:val="21"/>
          <w:highlight w:val="none"/>
        </w:rPr>
        <w:t>甲、乙双方本着平等、互惠互利的原则，</w:t>
      </w:r>
      <w:r>
        <w:rPr>
          <w:color w:val="000000"/>
          <w:sz w:val="21"/>
          <w:szCs w:val="21"/>
          <w:highlight w:val="none"/>
        </w:rPr>
        <w:t>就造林苗木采购事宜协商一致，特签订本合同，双方共同信守。</w:t>
      </w:r>
    </w:p>
    <w:p w14:paraId="6FCAEA68">
      <w:pPr>
        <w:pStyle w:val="8"/>
        <w:shd w:val="clear" w:color="auto" w:fill="FFFFFF"/>
        <w:spacing w:before="0" w:beforeAutospacing="0" w:after="0" w:afterAutospacing="0" w:line="400" w:lineRule="exact"/>
        <w:rPr>
          <w:b/>
          <w:bCs/>
          <w:color w:val="000000"/>
          <w:spacing w:val="10"/>
          <w:sz w:val="21"/>
          <w:szCs w:val="21"/>
          <w:highlight w:val="none"/>
        </w:rPr>
      </w:pPr>
      <w:r>
        <w:rPr>
          <w:b/>
          <w:color w:val="000000"/>
          <w:sz w:val="21"/>
          <w:szCs w:val="21"/>
          <w:highlight w:val="none"/>
        </w:rPr>
        <w:t>一、合同标的</w:t>
      </w:r>
    </w:p>
    <w:p w14:paraId="3FFF6FB8">
      <w:pPr>
        <w:pStyle w:val="7"/>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甲方向乙方采购的苗木，</w:t>
      </w:r>
      <w:r>
        <w:rPr>
          <w:rFonts w:hint="default"/>
          <w:color w:val="000000"/>
          <w:sz w:val="21"/>
          <w:szCs w:val="21"/>
          <w:highlight w:val="none"/>
        </w:rPr>
        <w:t>具体见下表：</w:t>
      </w:r>
    </w:p>
    <w:tbl>
      <w:tblPr>
        <w:tblStyle w:val="5"/>
        <w:tblW w:w="10051" w:type="dxa"/>
        <w:tblInd w:w="-318" w:type="dxa"/>
        <w:tblLayout w:type="autofit"/>
        <w:tblCellMar>
          <w:top w:w="0" w:type="dxa"/>
          <w:left w:w="108" w:type="dxa"/>
          <w:bottom w:w="0" w:type="dxa"/>
          <w:right w:w="108" w:type="dxa"/>
        </w:tblCellMar>
      </w:tblPr>
      <w:tblGrid>
        <w:gridCol w:w="436"/>
        <w:gridCol w:w="1266"/>
        <w:gridCol w:w="3119"/>
        <w:gridCol w:w="850"/>
        <w:gridCol w:w="992"/>
        <w:gridCol w:w="2127"/>
        <w:gridCol w:w="1261"/>
      </w:tblGrid>
      <w:tr w14:paraId="6219968B">
        <w:tblPrEx>
          <w:tblCellMar>
            <w:top w:w="0" w:type="dxa"/>
            <w:left w:w="108" w:type="dxa"/>
            <w:bottom w:w="0" w:type="dxa"/>
            <w:right w:w="108" w:type="dxa"/>
          </w:tblCellMar>
        </w:tblPrEx>
        <w:trPr>
          <w:trHeight w:val="465" w:hRule="atLeast"/>
        </w:trPr>
        <w:tc>
          <w:tcPr>
            <w:tcW w:w="4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861C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序号</w:t>
            </w:r>
          </w:p>
        </w:tc>
        <w:tc>
          <w:tcPr>
            <w:tcW w:w="1266" w:type="dxa"/>
            <w:tcBorders>
              <w:top w:val="single" w:color="auto" w:sz="4" w:space="0"/>
              <w:left w:val="nil"/>
              <w:bottom w:val="single" w:color="auto" w:sz="4" w:space="0"/>
              <w:right w:val="single" w:color="auto" w:sz="4" w:space="0"/>
            </w:tcBorders>
            <w:shd w:val="clear" w:color="000000" w:fill="FFFFFF"/>
            <w:noWrap w:val="0"/>
            <w:vAlign w:val="center"/>
          </w:tcPr>
          <w:p w14:paraId="6133BC6A">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苗木名称</w:t>
            </w:r>
          </w:p>
        </w:tc>
        <w:tc>
          <w:tcPr>
            <w:tcW w:w="3119" w:type="dxa"/>
            <w:tcBorders>
              <w:top w:val="single" w:color="auto" w:sz="4" w:space="0"/>
              <w:left w:val="nil"/>
              <w:bottom w:val="single" w:color="auto" w:sz="4" w:space="0"/>
              <w:right w:val="single" w:color="auto" w:sz="4" w:space="0"/>
            </w:tcBorders>
            <w:shd w:val="clear" w:color="000000" w:fill="FFFFFF"/>
            <w:noWrap w:val="0"/>
            <w:vAlign w:val="center"/>
          </w:tcPr>
          <w:p w14:paraId="4A560FCF">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苗木规格类型（技术参数）</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1AB9B69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单位</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10CC968D">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数量</w:t>
            </w:r>
          </w:p>
        </w:tc>
        <w:tc>
          <w:tcPr>
            <w:tcW w:w="2127" w:type="dxa"/>
            <w:tcBorders>
              <w:top w:val="single" w:color="auto" w:sz="4" w:space="0"/>
              <w:left w:val="nil"/>
              <w:bottom w:val="single" w:color="auto" w:sz="4" w:space="0"/>
              <w:right w:val="single" w:color="auto" w:sz="4" w:space="0"/>
            </w:tcBorders>
            <w:shd w:val="clear" w:color="000000" w:fill="FFFFFF"/>
            <w:noWrap w:val="0"/>
            <w:vAlign w:val="center"/>
          </w:tcPr>
          <w:p w14:paraId="45C3A95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全费用综合单价（元）</w:t>
            </w:r>
          </w:p>
        </w:tc>
        <w:tc>
          <w:tcPr>
            <w:tcW w:w="1261" w:type="dxa"/>
            <w:tcBorders>
              <w:top w:val="single" w:color="auto" w:sz="4" w:space="0"/>
              <w:left w:val="nil"/>
              <w:bottom w:val="single" w:color="auto" w:sz="4" w:space="0"/>
              <w:right w:val="single" w:color="auto" w:sz="4" w:space="0"/>
            </w:tcBorders>
            <w:shd w:val="clear" w:color="000000" w:fill="FFFFFF"/>
            <w:noWrap w:val="0"/>
            <w:vAlign w:val="center"/>
          </w:tcPr>
          <w:p w14:paraId="2807D24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合计（元）</w:t>
            </w:r>
          </w:p>
        </w:tc>
      </w:tr>
      <w:tr w14:paraId="78CEDD8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72C6C86">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070CDF2">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455BFB2">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48C2ECCF">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25F923E9">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1C95AAA4">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2F0F049">
            <w:pPr>
              <w:widowControl/>
              <w:jc w:val="center"/>
              <w:rPr>
                <w:rFonts w:ascii="宋体" w:hAnsi="宋体" w:cs="宋体"/>
                <w:color w:val="000000"/>
                <w:kern w:val="0"/>
                <w:sz w:val="20"/>
                <w:szCs w:val="20"/>
                <w:highlight w:val="none"/>
              </w:rPr>
            </w:pPr>
          </w:p>
        </w:tc>
      </w:tr>
      <w:tr w14:paraId="7E9C5B4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EC0BB8F">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CF856BE">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EC0AE97">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11AE13A9">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23644CF">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5F97F3DC">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8A166C2">
            <w:pPr>
              <w:widowControl/>
              <w:jc w:val="center"/>
              <w:rPr>
                <w:rFonts w:ascii="宋体" w:hAnsi="宋体" w:cs="宋体"/>
                <w:color w:val="000000"/>
                <w:kern w:val="0"/>
                <w:sz w:val="20"/>
                <w:szCs w:val="20"/>
                <w:highlight w:val="none"/>
              </w:rPr>
            </w:pPr>
          </w:p>
        </w:tc>
      </w:tr>
      <w:tr w14:paraId="5D8BDDE1">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634E49BE">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4B690A5D">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0E5DEB2A">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24B3A1E0">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06D7910">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35009920">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06D4F46C">
            <w:pPr>
              <w:widowControl/>
              <w:jc w:val="center"/>
              <w:rPr>
                <w:rFonts w:ascii="宋体" w:hAnsi="宋体" w:cs="宋体"/>
                <w:color w:val="000000"/>
                <w:kern w:val="0"/>
                <w:sz w:val="20"/>
                <w:szCs w:val="20"/>
                <w:highlight w:val="none"/>
              </w:rPr>
            </w:pPr>
          </w:p>
        </w:tc>
      </w:tr>
      <w:tr w14:paraId="429D33CB">
        <w:tblPrEx>
          <w:tblCellMar>
            <w:top w:w="0" w:type="dxa"/>
            <w:left w:w="108" w:type="dxa"/>
            <w:bottom w:w="0" w:type="dxa"/>
            <w:right w:w="108" w:type="dxa"/>
          </w:tblCellMar>
        </w:tblPrEx>
        <w:trPr>
          <w:trHeight w:val="280" w:hRule="atLeast"/>
        </w:trPr>
        <w:tc>
          <w:tcPr>
            <w:tcW w:w="10051" w:type="dxa"/>
            <w:gridSpan w:val="7"/>
            <w:tcBorders>
              <w:top w:val="nil"/>
              <w:left w:val="single" w:color="auto" w:sz="4" w:space="0"/>
              <w:bottom w:val="single" w:color="auto" w:sz="4" w:space="0"/>
              <w:right w:val="single" w:color="auto" w:sz="4" w:space="0"/>
            </w:tcBorders>
            <w:noWrap/>
            <w:vAlign w:val="center"/>
          </w:tcPr>
          <w:p w14:paraId="417C55BA">
            <w:pPr>
              <w:widowControl/>
              <w:jc w:val="left"/>
              <w:rPr>
                <w:rFonts w:ascii="宋体" w:hAnsi="宋体" w:eastAsia="宋体" w:cs="宋体"/>
                <w:b/>
                <w:bCs/>
                <w:color w:val="000000"/>
                <w:kern w:val="0"/>
                <w:sz w:val="20"/>
                <w:szCs w:val="20"/>
                <w:highlight w:val="none"/>
              </w:rPr>
            </w:pPr>
            <w:r>
              <w:rPr>
                <w:rFonts w:ascii="宋体" w:hAnsi="宋体" w:cs="宋体"/>
                <w:b/>
                <w:bCs/>
                <w:color w:val="000000"/>
                <w:kern w:val="0"/>
                <w:sz w:val="20"/>
                <w:szCs w:val="20"/>
                <w:highlight w:val="none"/>
              </w:rPr>
              <w:t xml:space="preserve">合同总价：人民币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 xml:space="preserve">元（大写：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w:t>
            </w:r>
          </w:p>
          <w:p w14:paraId="237D6688">
            <w:pPr>
              <w:widowControl/>
              <w:jc w:val="right"/>
              <w:rPr>
                <w:rFonts w:ascii="宋体" w:hAnsi="宋体" w:cs="宋体"/>
                <w:b/>
                <w:bCs/>
                <w:color w:val="000000"/>
                <w:kern w:val="0"/>
                <w:sz w:val="20"/>
                <w:szCs w:val="20"/>
                <w:highlight w:val="none"/>
              </w:rPr>
            </w:pPr>
          </w:p>
        </w:tc>
      </w:tr>
    </w:tbl>
    <w:p w14:paraId="6D5AC668">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hint="default" w:ascii="宋体" w:hAnsi="宋体"/>
          <w:color w:val="000000"/>
          <w:sz w:val="21"/>
          <w:szCs w:val="21"/>
          <w:highlight w:val="none"/>
        </w:rPr>
        <w:t>说明：</w:t>
      </w:r>
    </w:p>
    <w:p w14:paraId="6356B360">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1）上述价格涵盖了为完成本项目全部内容所发生的一切费用[包括但不限于：苗木生产成本、起苗、包装与包装材料、整枝初剪、装卸、运输（含到达交货地点的下车费）、人工费、机械机具使用费、苗木检验检疫费（若有）、利润、税金以及伴随服务（含:指导栽植、管养护、病虫害防治、人员培训等）等所需的全部费用]，上述全费用综合单价在整个合同实施期间均不作调整。</w:t>
      </w:r>
    </w:p>
    <w:p w14:paraId="157D284F">
      <w:pPr>
        <w:pStyle w:val="7"/>
        <w:shd w:val="clear" w:color="auto" w:fill="FFFFFF"/>
        <w:autoSpaceDE w:val="0"/>
        <w:autoSpaceDN w:val="0"/>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（2）</w:t>
      </w:r>
      <w:r>
        <w:rPr>
          <w:rFonts w:hint="default" w:ascii="宋体" w:hAnsi="宋体"/>
          <w:color w:val="000000"/>
          <w:sz w:val="21"/>
          <w:szCs w:val="21"/>
          <w:highlight w:val="none"/>
        </w:rPr>
        <w:t>苗木验收：在苗木卸车前，</w:t>
      </w:r>
      <w:r>
        <w:rPr>
          <w:rFonts w:ascii="宋体" w:hAnsi="宋体"/>
          <w:color w:val="000000"/>
          <w:sz w:val="21"/>
          <w:szCs w:val="21"/>
          <w:highlight w:val="none"/>
        </w:rPr>
        <w:t>由甲方、乙方、施工方及监理方</w:t>
      </w:r>
      <w:r>
        <w:rPr>
          <w:rFonts w:hint="default" w:ascii="宋体" w:hAnsi="宋体"/>
          <w:color w:val="000000"/>
          <w:sz w:val="21"/>
          <w:szCs w:val="21"/>
          <w:highlight w:val="none"/>
        </w:rPr>
        <w:t>抽查苗木，按抽查综合平均值计算合格率</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未达到95%合格率一律退还全部苗木，也有权不予验收。甲方有权不支付款项，要求乙方重新提供苗木。</w:t>
      </w:r>
    </w:p>
    <w:p w14:paraId="6E2A1D8D">
      <w:pPr>
        <w:pStyle w:val="7"/>
        <w:widowControl/>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（3）</w:t>
      </w:r>
      <w:r>
        <w:rPr>
          <w:rFonts w:hint="eastAsia" w:ascii="宋体" w:hAnsi="宋体"/>
          <w:color w:val="000000"/>
          <w:sz w:val="21"/>
          <w:szCs w:val="21"/>
          <w:highlight w:val="none"/>
          <w:lang w:val="en-US" w:eastAsia="zh-CN"/>
        </w:rPr>
        <w:t>乙方按甲方指定地点送苗，甲方在交苗地点验收后接受</w:t>
      </w:r>
      <w:r>
        <w:rPr>
          <w:rFonts w:hint="default" w:ascii="宋体" w:hAnsi="宋体"/>
          <w:color w:val="000000"/>
          <w:sz w:val="21"/>
          <w:szCs w:val="21"/>
          <w:highlight w:val="none"/>
        </w:rPr>
        <w:t>。</w:t>
      </w:r>
    </w:p>
    <w:p w14:paraId="5092E399">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（4）</w:t>
      </w:r>
      <w:r>
        <w:rPr>
          <w:rFonts w:hint="default" w:ascii="宋体" w:hAnsi="宋体"/>
          <w:color w:val="000000"/>
          <w:sz w:val="21"/>
          <w:szCs w:val="21"/>
          <w:highlight w:val="none"/>
        </w:rPr>
        <w:t>乙方根据甲方要求负责提供</w:t>
      </w:r>
      <w:r>
        <w:rPr>
          <w:rFonts w:ascii="宋体" w:hAnsi="宋体"/>
          <w:color w:val="000000"/>
          <w:sz w:val="21"/>
          <w:szCs w:val="21"/>
          <w:highlight w:val="none"/>
        </w:rPr>
        <w:t>与乙方单位一致的</w:t>
      </w:r>
      <w:r>
        <w:rPr>
          <w:rFonts w:hint="eastAsia" w:ascii="宋体" w:hAnsi="宋体"/>
          <w:color w:val="000000"/>
          <w:sz w:val="21"/>
          <w:szCs w:val="21"/>
          <w:highlight w:val="none"/>
          <w:lang w:eastAsia="zh-CN"/>
        </w:rPr>
        <w:t>调运证、</w:t>
      </w:r>
      <w:r>
        <w:rPr>
          <w:rFonts w:hint="default" w:ascii="宋体" w:hAnsi="宋体"/>
          <w:color w:val="000000"/>
          <w:sz w:val="21"/>
          <w:szCs w:val="21"/>
          <w:highlight w:val="none"/>
        </w:rPr>
        <w:t>苗木检疫证、苗木标签、苗木质量合格证、增值税发票</w:t>
      </w:r>
      <w:r>
        <w:rPr>
          <w:rFonts w:ascii="宋体" w:hAnsi="宋体"/>
          <w:color w:val="000000"/>
          <w:sz w:val="21"/>
          <w:szCs w:val="21"/>
          <w:highlight w:val="none"/>
        </w:rPr>
        <w:t>等资料</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否则甲方有权不予验收、付款</w:t>
      </w:r>
      <w:r>
        <w:rPr>
          <w:rFonts w:hint="default" w:ascii="宋体" w:hAnsi="宋体"/>
          <w:color w:val="000000"/>
          <w:sz w:val="21"/>
          <w:szCs w:val="21"/>
          <w:highlight w:val="none"/>
        </w:rPr>
        <w:t>。</w:t>
      </w:r>
    </w:p>
    <w:p w14:paraId="39F67C76">
      <w:pPr>
        <w:pStyle w:val="7"/>
        <w:shd w:val="clear" w:color="auto" w:fill="FFFFFF"/>
        <w:autoSpaceDE w:val="0"/>
        <w:autoSpaceDN w:val="0"/>
        <w:spacing w:before="0" w:beforeAutospacing="0" w:after="0" w:afterAutospacing="0" w:line="420" w:lineRule="exact"/>
        <w:ind w:firstLine="422" w:firstLineChars="200"/>
        <w:rPr>
          <w:rFonts w:ascii="宋体" w:hAnsi="宋体"/>
          <w:color w:val="000000"/>
          <w:sz w:val="21"/>
          <w:szCs w:val="21"/>
          <w:highlight w:val="none"/>
        </w:rPr>
      </w:pPr>
      <w:r>
        <w:rPr>
          <w:rFonts w:ascii="宋体" w:hAnsi="宋体"/>
          <w:b/>
          <w:color w:val="000000"/>
          <w:sz w:val="21"/>
          <w:szCs w:val="21"/>
          <w:highlight w:val="none"/>
        </w:rPr>
        <w:t>二、质量要求</w:t>
      </w:r>
    </w:p>
    <w:p w14:paraId="0335D934">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乙方所提供的苗木质量须达如下标准：苗木健壮、顶芽完好、株形饱满美观、叶色鲜艳、枝叶茂密、侧枝均匀、无病虫害、无机械损伤，</w:t>
      </w:r>
      <w:r>
        <w:rPr>
          <w:rFonts w:hint="eastAsia" w:ascii="宋体" w:hAnsi="宋体"/>
          <w:color w:val="000000"/>
          <w:sz w:val="21"/>
          <w:szCs w:val="21"/>
          <w:highlight w:val="none"/>
          <w:lang w:val="en-US" w:eastAsia="zh-CN"/>
        </w:rPr>
        <w:t>充分木质化，</w:t>
      </w:r>
      <w:r>
        <w:rPr>
          <w:rFonts w:ascii="宋体" w:hAnsi="宋体"/>
          <w:color w:val="000000"/>
          <w:sz w:val="21"/>
          <w:szCs w:val="21"/>
          <w:highlight w:val="none"/>
        </w:rPr>
        <w:t>合格率95%以上</w:t>
      </w:r>
      <w:r>
        <w:rPr>
          <w:rFonts w:hint="eastAsia" w:ascii="宋体" w:hAnsi="宋体"/>
          <w:color w:val="000000"/>
          <w:sz w:val="21"/>
          <w:szCs w:val="21"/>
          <w:highlight w:val="none"/>
        </w:rPr>
        <w:t>（若合格率低于95%的，甲方有权拒收</w:t>
      </w:r>
      <w:r>
        <w:rPr>
          <w:rFonts w:hint="eastAsia" w:ascii="宋体" w:hAnsi="宋体"/>
          <w:color w:val="000000"/>
          <w:sz w:val="21"/>
          <w:szCs w:val="21"/>
          <w:highlight w:val="none"/>
          <w:lang w:val="en-US" w:eastAsia="zh-CN"/>
        </w:rPr>
        <w:t>全部苗木</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容器苗育苗过程中要抑制根顶端分生组织生长，容器不破碎，并形成良好根团，容器苗主根不得穿杯；</w:t>
      </w:r>
      <w:r>
        <w:rPr>
          <w:rFonts w:hint="eastAsia" w:ascii="宋体" w:hAnsi="宋体"/>
          <w:color w:val="000000"/>
          <w:sz w:val="21"/>
          <w:szCs w:val="21"/>
          <w:highlight w:val="none"/>
        </w:rPr>
        <w:t>种子净度、纯度、发芽率等要符合</w:t>
      </w:r>
      <w:r>
        <w:rPr>
          <w:rFonts w:hint="eastAsia" w:ascii="宋体" w:hAnsi="宋体"/>
          <w:color w:val="000000"/>
          <w:sz w:val="21"/>
          <w:szCs w:val="21"/>
          <w:highlight w:val="none"/>
          <w:lang w:val="en-US" w:eastAsia="zh-CN"/>
        </w:rPr>
        <w:t>国家或地方种子行业规格及检疫</w:t>
      </w:r>
      <w:r>
        <w:rPr>
          <w:rFonts w:hint="eastAsia" w:ascii="宋体" w:hAnsi="宋体"/>
          <w:color w:val="000000"/>
          <w:sz w:val="21"/>
          <w:szCs w:val="21"/>
          <w:highlight w:val="none"/>
        </w:rPr>
        <w:t>要求</w:t>
      </w:r>
      <w:r>
        <w:rPr>
          <w:rFonts w:ascii="宋体" w:hAnsi="宋体"/>
          <w:color w:val="000000"/>
          <w:sz w:val="21"/>
          <w:szCs w:val="21"/>
          <w:highlight w:val="none"/>
        </w:rPr>
        <w:t>；包装要求应符合行业标准。</w:t>
      </w:r>
    </w:p>
    <w:p w14:paraId="29C4BB84">
      <w:pPr>
        <w:pStyle w:val="10"/>
        <w:shd w:val="clear" w:color="auto" w:fill="FFFFFF"/>
        <w:spacing w:before="0" w:beforeAutospacing="0" w:after="0" w:afterAutospacing="0" w:line="420" w:lineRule="exact"/>
        <w:ind w:firstLine="200"/>
        <w:jc w:val="both"/>
        <w:rPr>
          <w:rFonts w:cs="Times New Roman"/>
          <w:color w:val="000000"/>
          <w:sz w:val="21"/>
          <w:szCs w:val="21"/>
          <w:highlight w:val="none"/>
        </w:rPr>
      </w:pPr>
      <w:r>
        <w:rPr>
          <w:rFonts w:hint="eastAsia" w:cs="Times New Roman"/>
          <w:b/>
          <w:color w:val="000000"/>
          <w:sz w:val="21"/>
          <w:szCs w:val="21"/>
          <w:highlight w:val="none"/>
        </w:rPr>
        <w:t>三、</w:t>
      </w:r>
      <w:r>
        <w:rPr>
          <w:rFonts w:cs="Times New Roman"/>
          <w:b/>
          <w:color w:val="000000"/>
          <w:sz w:val="21"/>
          <w:szCs w:val="21"/>
          <w:highlight w:val="none"/>
        </w:rPr>
        <w:t>付款方式</w:t>
      </w:r>
    </w:p>
    <w:p w14:paraId="40E1D9B3">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（一）乙方收款账户信息</w:t>
      </w:r>
    </w:p>
    <w:p w14:paraId="3F8772CF">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甲方以银行转账的方式向乙方支付苗木价款，乙方收款账户信息如下：</w:t>
      </w:r>
    </w:p>
    <w:p w14:paraId="5888C3D1">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户</w:t>
      </w:r>
      <w:r>
        <w:rPr>
          <w:rFonts w:hint="eastAsia" w:ascii="宋体" w:hAnsi="宋体"/>
          <w:color w:val="000000"/>
          <w:sz w:val="21"/>
          <w:szCs w:val="21"/>
          <w:highlight w:val="none"/>
        </w:rPr>
        <w:t xml:space="preserve">  </w:t>
      </w:r>
      <w:r>
        <w:rPr>
          <w:rFonts w:ascii="宋体" w:hAnsi="宋体"/>
          <w:color w:val="000000"/>
          <w:sz w:val="21"/>
          <w:szCs w:val="21"/>
          <w:highlight w:val="none"/>
        </w:rPr>
        <w:t>名：</w:t>
      </w:r>
    </w:p>
    <w:p w14:paraId="129BD0AA">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开户行：</w:t>
      </w:r>
    </w:p>
    <w:p w14:paraId="773CF4ED">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账  号：</w:t>
      </w:r>
    </w:p>
    <w:p w14:paraId="19E9CD5A">
      <w:pPr>
        <w:pStyle w:val="12"/>
        <w:numPr>
          <w:ilvl w:val="0"/>
          <w:numId w:val="1"/>
        </w:numPr>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苗木进度款结算和支付：</w:t>
      </w:r>
      <w:r>
        <w:rPr>
          <w:rFonts w:hint="eastAsia" w:ascii="Times New Roman" w:hAnsi="Times New Roman" w:cs="Times New Roman"/>
          <w:sz w:val="21"/>
          <w:szCs w:val="21"/>
          <w:highlight w:val="none"/>
          <w:lang w:val="en-US" w:eastAsia="zh-CN"/>
        </w:rPr>
        <w:t>双方</w:t>
      </w:r>
      <w:r>
        <w:rPr>
          <w:rFonts w:hint="eastAsia" w:ascii="Times New Roman" w:hAnsi="Times New Roman" w:cs="Times New Roman"/>
          <w:sz w:val="21"/>
          <w:szCs w:val="21"/>
          <w:highlight w:val="none"/>
        </w:rPr>
        <w:t>按照实际调运苗木的验收合格数量</w:t>
      </w:r>
      <w:r>
        <w:rPr>
          <w:rFonts w:hint="eastAsia" w:ascii="Times New Roman" w:hAnsi="Times New Roman" w:cs="Times New Roman"/>
          <w:sz w:val="21"/>
          <w:szCs w:val="21"/>
          <w:highlight w:val="none"/>
          <w:lang w:val="en-US" w:eastAsia="zh-CN"/>
        </w:rPr>
        <w:t>进行结算</w:t>
      </w:r>
      <w:r>
        <w:rPr>
          <w:rFonts w:hint="eastAsia" w:cs="Times New Roman"/>
          <w:sz w:val="21"/>
          <w:szCs w:val="21"/>
          <w:highlight w:val="none"/>
          <w:lang w:val="en-US" w:eastAsia="zh-CN"/>
        </w:rPr>
        <w:t>。</w:t>
      </w:r>
      <w:r>
        <w:rPr>
          <w:rFonts w:hint="eastAsia" w:ascii="宋体" w:hAnsi="宋体"/>
          <w:color w:val="000000"/>
          <w:sz w:val="21"/>
          <w:szCs w:val="21"/>
          <w:highlight w:val="none"/>
        </w:rPr>
        <w:t>结算完成后由乙方按结算金额开具等额的增值税发票（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普通发票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专用发票），甲方于收到发票后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w:t>
      </w:r>
      <w:r>
        <w:rPr>
          <w:rFonts w:hint="eastAsia" w:ascii="宋体" w:hAnsi="宋体"/>
          <w:color w:val="000000"/>
          <w:sz w:val="21"/>
          <w:szCs w:val="21"/>
          <w:highlight w:val="none"/>
          <w:lang w:val="en-US" w:eastAsia="zh-CN"/>
        </w:rPr>
        <w:t>苗木</w:t>
      </w:r>
      <w:r>
        <w:rPr>
          <w:rFonts w:hint="eastAsia" w:ascii="宋体" w:hAnsi="宋体"/>
          <w:color w:val="000000"/>
          <w:sz w:val="21"/>
          <w:szCs w:val="21"/>
          <w:highlight w:val="none"/>
        </w:rPr>
        <w:t>价款。</w:t>
      </w:r>
    </w:p>
    <w:p w14:paraId="055D334B">
      <w:pPr>
        <w:pStyle w:val="10"/>
        <w:spacing w:before="0" w:beforeAutospacing="0" w:after="0" w:afterAutospacing="0" w:line="420" w:lineRule="exact"/>
        <w:ind w:firstLine="200"/>
        <w:jc w:val="both"/>
        <w:rPr>
          <w:rFonts w:cs="Times New Roman"/>
          <w:b/>
          <w:color w:val="000000"/>
          <w:sz w:val="21"/>
          <w:szCs w:val="21"/>
          <w:highlight w:val="none"/>
        </w:rPr>
      </w:pPr>
      <w:r>
        <w:rPr>
          <w:rFonts w:hint="eastAsia" w:cs="Times New Roman"/>
          <w:b/>
          <w:color w:val="000000"/>
          <w:sz w:val="21"/>
          <w:szCs w:val="21"/>
          <w:highlight w:val="none"/>
          <w:lang w:val="en-US" w:eastAsia="zh-CN"/>
        </w:rPr>
        <w:t>四</w:t>
      </w:r>
      <w:r>
        <w:rPr>
          <w:rFonts w:cs="Times New Roman"/>
          <w:b/>
          <w:color w:val="000000"/>
          <w:sz w:val="21"/>
          <w:szCs w:val="21"/>
          <w:highlight w:val="none"/>
        </w:rPr>
        <w:t>、交验货时间及地点</w:t>
      </w:r>
    </w:p>
    <w:p w14:paraId="623889D1">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交货地点：</w:t>
      </w:r>
      <w:r>
        <w:rPr>
          <w:rFonts w:hint="eastAsia" w:ascii="宋体" w:hAnsi="宋体"/>
          <w:color w:val="000000"/>
          <w:sz w:val="21"/>
          <w:szCs w:val="21"/>
          <w:highlight w:val="none"/>
        </w:rPr>
        <w:t>重庆市</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内，具体地点以甲方通知为准。</w:t>
      </w:r>
    </w:p>
    <w:p w14:paraId="51B9193A">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交货时间：</w:t>
      </w:r>
      <w:r>
        <w:rPr>
          <w:rFonts w:hint="eastAsia" w:ascii="宋体" w:hAnsi="宋体"/>
          <w:color w:val="000000"/>
          <w:sz w:val="21"/>
          <w:szCs w:val="21"/>
          <w:highlight w:val="none"/>
        </w:rPr>
        <w:t>乙方应</w:t>
      </w:r>
      <w:r>
        <w:rPr>
          <w:rFonts w:ascii="宋体" w:hAnsi="宋体"/>
          <w:color w:val="000000"/>
          <w:sz w:val="21"/>
          <w:szCs w:val="21"/>
          <w:highlight w:val="none"/>
        </w:rPr>
        <w:t>在</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年  月  日至 </w:t>
      </w:r>
      <w:r>
        <w:rPr>
          <w:rFonts w:ascii="宋体" w:hAnsi="宋体"/>
          <w:color w:val="000000"/>
          <w:sz w:val="21"/>
          <w:szCs w:val="21"/>
          <w:highlight w:val="none"/>
        </w:rPr>
        <w:t xml:space="preserve">   </w:t>
      </w:r>
      <w:r>
        <w:rPr>
          <w:rFonts w:hint="eastAsia" w:ascii="宋体" w:hAnsi="宋体"/>
          <w:color w:val="000000"/>
          <w:sz w:val="21"/>
          <w:szCs w:val="21"/>
          <w:highlight w:val="none"/>
        </w:rPr>
        <w:t>年   月   日按照甲方的要求供应苗木，具体交货时间以甲方通知为准。</w:t>
      </w:r>
    </w:p>
    <w:p w14:paraId="58B60274">
      <w:pPr>
        <w:pStyle w:val="12"/>
        <w:shd w:val="clear" w:color="auto" w:fill="FFFFFF"/>
        <w:tabs>
          <w:tab w:val="left" w:pos="780"/>
        </w:tabs>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五</w:t>
      </w:r>
      <w:r>
        <w:rPr>
          <w:rFonts w:hint="eastAsia" w:ascii="宋体" w:hAnsi="宋体"/>
          <w:b/>
          <w:color w:val="000000"/>
          <w:sz w:val="21"/>
          <w:szCs w:val="21"/>
          <w:highlight w:val="none"/>
        </w:rPr>
        <w:t>、</w:t>
      </w:r>
      <w:r>
        <w:rPr>
          <w:rFonts w:ascii="宋体" w:hAnsi="宋体"/>
          <w:b/>
          <w:color w:val="000000"/>
          <w:sz w:val="21"/>
          <w:szCs w:val="21"/>
          <w:highlight w:val="none"/>
        </w:rPr>
        <w:t>双方的权利和义务</w:t>
      </w:r>
    </w:p>
    <w:p w14:paraId="2B97C491">
      <w:pPr>
        <w:pStyle w:val="12"/>
        <w:shd w:val="clear" w:color="auto" w:fill="FFFFFF"/>
        <w:spacing w:before="0" w:beforeAutospacing="0" w:after="0" w:afterAutospacing="0" w:line="420" w:lineRule="exact"/>
        <w:ind w:firstLine="420" w:firstLineChars="200"/>
        <w:rPr>
          <w:rFonts w:ascii="宋体" w:hAnsi="宋体"/>
          <w:bCs/>
          <w:color w:val="000000"/>
          <w:sz w:val="21"/>
          <w:szCs w:val="21"/>
          <w:highlight w:val="none"/>
        </w:rPr>
      </w:pPr>
      <w:r>
        <w:rPr>
          <w:rFonts w:hint="eastAsia" w:ascii="宋体" w:hAnsi="宋体"/>
          <w:bCs/>
          <w:color w:val="000000"/>
          <w:sz w:val="21"/>
          <w:szCs w:val="21"/>
          <w:highlight w:val="none"/>
        </w:rPr>
        <w:t>（一）</w:t>
      </w:r>
      <w:r>
        <w:rPr>
          <w:rFonts w:ascii="宋体" w:hAnsi="宋体"/>
          <w:bCs/>
          <w:color w:val="000000"/>
          <w:sz w:val="21"/>
          <w:szCs w:val="21"/>
          <w:highlight w:val="none"/>
        </w:rPr>
        <w:t>乙方有义务在甲方造林、苗木</w:t>
      </w:r>
      <w:r>
        <w:rPr>
          <w:rFonts w:hint="eastAsia" w:ascii="宋体" w:hAnsi="宋体"/>
          <w:bCs/>
          <w:color w:val="000000"/>
          <w:sz w:val="21"/>
          <w:szCs w:val="21"/>
          <w:highlight w:val="none"/>
          <w:lang w:val="en-US" w:eastAsia="zh-CN"/>
        </w:rPr>
        <w:t>保管和栽植</w:t>
      </w:r>
      <w:r>
        <w:rPr>
          <w:rFonts w:ascii="宋体" w:hAnsi="宋体"/>
          <w:bCs/>
          <w:color w:val="000000"/>
          <w:sz w:val="21"/>
          <w:szCs w:val="21"/>
          <w:highlight w:val="none"/>
        </w:rPr>
        <w:t>等</w:t>
      </w:r>
      <w:r>
        <w:rPr>
          <w:rFonts w:hint="eastAsia" w:ascii="宋体" w:hAnsi="宋体"/>
          <w:bCs/>
          <w:color w:val="000000"/>
          <w:sz w:val="21"/>
          <w:szCs w:val="21"/>
          <w:highlight w:val="none"/>
        </w:rPr>
        <w:t>过程中</w:t>
      </w:r>
      <w:r>
        <w:rPr>
          <w:rFonts w:ascii="宋体" w:hAnsi="宋体"/>
          <w:bCs/>
          <w:color w:val="000000"/>
          <w:sz w:val="21"/>
          <w:szCs w:val="21"/>
          <w:highlight w:val="none"/>
        </w:rPr>
        <w:t>提供</w:t>
      </w:r>
      <w:r>
        <w:rPr>
          <w:rFonts w:hint="eastAsia" w:ascii="宋体" w:hAnsi="宋体"/>
          <w:bCs/>
          <w:color w:val="000000"/>
          <w:sz w:val="21"/>
          <w:szCs w:val="21"/>
          <w:highlight w:val="none"/>
          <w:lang w:val="en-US" w:eastAsia="zh-CN"/>
        </w:rPr>
        <w:t>无偿苗木</w:t>
      </w:r>
      <w:r>
        <w:rPr>
          <w:rFonts w:ascii="宋体" w:hAnsi="宋体"/>
          <w:bCs/>
          <w:color w:val="000000"/>
          <w:sz w:val="21"/>
          <w:szCs w:val="21"/>
          <w:highlight w:val="none"/>
        </w:rPr>
        <w:t>技术服务，</w:t>
      </w:r>
      <w:r>
        <w:rPr>
          <w:rFonts w:hint="eastAsia" w:ascii="宋体" w:hAnsi="宋体"/>
          <w:bCs/>
          <w:color w:val="000000"/>
          <w:sz w:val="21"/>
          <w:szCs w:val="21"/>
          <w:highlight w:val="none"/>
        </w:rPr>
        <w:t>乙方因此发生的费用由乙方自行承担</w:t>
      </w:r>
      <w:r>
        <w:rPr>
          <w:rFonts w:ascii="宋体" w:hAnsi="宋体"/>
          <w:bCs/>
          <w:color w:val="000000"/>
          <w:sz w:val="21"/>
          <w:szCs w:val="21"/>
          <w:highlight w:val="none"/>
        </w:rPr>
        <w:t>。</w:t>
      </w:r>
    </w:p>
    <w:p w14:paraId="6CF40474">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（二）苗木在甲方验收接收前毁损灭失的风险由乙方承担，自甲方验收</w:t>
      </w:r>
      <w:r>
        <w:rPr>
          <w:rFonts w:hint="eastAsia" w:ascii="宋体" w:hAnsi="宋体"/>
          <w:color w:val="000000"/>
          <w:sz w:val="21"/>
          <w:szCs w:val="21"/>
          <w:highlight w:val="none"/>
          <w:lang w:val="en-US" w:eastAsia="zh-CN"/>
        </w:rPr>
        <w:t>合格后</w:t>
      </w:r>
      <w:r>
        <w:rPr>
          <w:rFonts w:hint="eastAsia" w:ascii="宋体" w:hAnsi="宋体"/>
          <w:color w:val="000000"/>
          <w:sz w:val="21"/>
          <w:szCs w:val="21"/>
          <w:highlight w:val="none"/>
        </w:rPr>
        <w:t>起转移至甲方。</w:t>
      </w:r>
    </w:p>
    <w:p w14:paraId="292342BE">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甲方有权提前解除合同，但应当提前15日通知乙方。甲方提前解除合同的，自合同解除之日起15个工作日内双方按照合同终止前甲方接收的合格苗木数量及合同单价办理结算，甲方于结算完毕且收到等额增值税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个工作日内支付结算价款。</w:t>
      </w:r>
    </w:p>
    <w:p w14:paraId="7596C808">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（四）乙方分批次供应苗木的品种、规格、时间、数量和地点以</w:t>
      </w:r>
      <w:r>
        <w:rPr>
          <w:rFonts w:ascii="宋体" w:hAnsi="宋体"/>
          <w:color w:val="000000"/>
          <w:sz w:val="21"/>
          <w:szCs w:val="21"/>
          <w:highlight w:val="none"/>
        </w:rPr>
        <w:t>甲方</w:t>
      </w:r>
      <w:r>
        <w:rPr>
          <w:rFonts w:hint="eastAsia" w:ascii="宋体" w:hAnsi="宋体"/>
          <w:color w:val="000000"/>
          <w:sz w:val="21"/>
          <w:szCs w:val="21"/>
          <w:highlight w:val="none"/>
        </w:rPr>
        <w:t>调苗</w:t>
      </w:r>
      <w:r>
        <w:rPr>
          <w:rFonts w:ascii="宋体" w:hAnsi="宋体"/>
          <w:color w:val="000000"/>
          <w:sz w:val="21"/>
          <w:szCs w:val="21"/>
          <w:highlight w:val="none"/>
        </w:rPr>
        <w:t>通知为准。</w:t>
      </w:r>
    </w:p>
    <w:p w14:paraId="3E443D95">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乙方在签订本合同时代表已知晓并同意按《重庆市林业投资开发有限责任公司</w:t>
      </w:r>
    </w:p>
    <w:p w14:paraId="31FA4970">
      <w:pPr>
        <w:pStyle w:val="11"/>
        <w:shd w:val="clear" w:color="auto" w:fill="FFFFFF"/>
        <w:spacing w:before="0" w:beforeAutospacing="0" w:after="0" w:afterAutospacing="0" w:line="420" w:lineRule="exact"/>
        <w:ind w:left="0" w:leftChars="-95" w:hanging="199" w:hangingChars="95"/>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苗木管理办法（试行）》来验收苗木。</w:t>
      </w:r>
    </w:p>
    <w:p w14:paraId="19601A3C">
      <w:pPr>
        <w:pStyle w:val="13"/>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六</w:t>
      </w:r>
      <w:r>
        <w:rPr>
          <w:rFonts w:ascii="宋体" w:hAnsi="宋体"/>
          <w:b/>
          <w:color w:val="000000"/>
          <w:sz w:val="21"/>
          <w:szCs w:val="21"/>
          <w:highlight w:val="none"/>
        </w:rPr>
        <w:t>、违约责任</w:t>
      </w:r>
    </w:p>
    <w:p w14:paraId="3F174F95">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（一）乙方严格按照合同约定的质量供苗，对于不合格苗木，甲方有权拒绝接收，</w:t>
      </w:r>
      <w:r>
        <w:rPr>
          <w:rFonts w:hint="eastAsia" w:ascii="宋体" w:hAnsi="宋体"/>
          <w:color w:val="000000"/>
          <w:sz w:val="21"/>
          <w:szCs w:val="21"/>
          <w:highlight w:val="none"/>
          <w:lang w:val="en-US" w:eastAsia="zh-CN"/>
        </w:rPr>
        <w:t>不支付款项，</w:t>
      </w:r>
      <w:r>
        <w:rPr>
          <w:rFonts w:hint="eastAsia" w:ascii="宋体" w:hAnsi="宋体"/>
          <w:color w:val="000000"/>
          <w:sz w:val="21"/>
          <w:szCs w:val="21"/>
          <w:highlight w:val="none"/>
        </w:rPr>
        <w:t>所造成的损失和费用由乙方承担，供苗期限不予顺延。</w:t>
      </w:r>
    </w:p>
    <w:p w14:paraId="31323248">
      <w:pPr>
        <w:pStyle w:val="11"/>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二）苗木合格率应符合合同约定，苗木合格率累计两次低于95%的，甲方有权解除合同，乙方按照合同总价款的20%向甲方承担违约责任（甲方有权在应支付乙方款项中直接扣除）。违约金不足以弥补甲方损失的，乙方还应当予以补足。</w:t>
      </w:r>
    </w:p>
    <w:p w14:paraId="1C945017">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三</w:t>
      </w:r>
      <w:r>
        <w:rPr>
          <w:rFonts w:hint="eastAsia" w:ascii="宋体" w:hAnsi="宋体"/>
          <w:color w:val="000000"/>
          <w:sz w:val="21"/>
          <w:szCs w:val="21"/>
          <w:highlight w:val="none"/>
        </w:rPr>
        <w:t>）乙方严格按照合同约定的期限供苗，乙方延期供应苗木的，每延期一日，应当按照合同总价款的千分之五向甲方承担违约责任；延期超过三十日的，甲方有权解除合同，双方按照已验收合格苗木数量结算合同价款，且乙方按照合同总价款的20%向甲方承担违约责任（甲方有权在应支付乙方款项中直接扣除）。违约金不足以弥补甲方损失的，乙方还应当予以补足。</w:t>
      </w:r>
    </w:p>
    <w:p w14:paraId="36BA6BD7">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四</w:t>
      </w:r>
      <w:r>
        <w:rPr>
          <w:rFonts w:hint="eastAsia" w:ascii="宋体" w:hAnsi="宋体"/>
          <w:color w:val="000000"/>
          <w:sz w:val="21"/>
          <w:szCs w:val="21"/>
          <w:highlight w:val="none"/>
        </w:rPr>
        <w:t>）乙方向甲方提供的苗木有病虫害的，甲方有权解除合同，乙方应当返还病虫害苗木价款（甲方有权在应支付乙方款项中直接扣除），且乙方应当赔偿甲方因此所遭受的损失。</w:t>
      </w:r>
    </w:p>
    <w:p w14:paraId="090B5C41">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五）甲方的损失包括直接损失、间接损失以及维权费用（包括但不限于诉讼费、律师费、鉴定费等）。</w:t>
      </w:r>
    </w:p>
    <w:p w14:paraId="13E5E644">
      <w:pPr>
        <w:pStyle w:val="11"/>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七</w:t>
      </w:r>
      <w:r>
        <w:rPr>
          <w:rFonts w:ascii="宋体" w:hAnsi="宋体"/>
          <w:b/>
          <w:color w:val="000000"/>
          <w:sz w:val="21"/>
          <w:szCs w:val="21"/>
          <w:highlight w:val="none"/>
        </w:rPr>
        <w:t>、免除责任</w:t>
      </w:r>
    </w:p>
    <w:p w14:paraId="5D727FB2">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在合同的履行过程中，如遇不可抗力，致使合同不能履行或不能全部履行的，可免除违约责任，但遇不可抗力的一方应在遭遇不可抗力后的七个工作日内及时通知另一方，以免造成更大的损失，如贻误通知，贻误通知一方需对因贻误通知而给另一方造成的损失承担赔偿责任。</w:t>
      </w:r>
    </w:p>
    <w:p w14:paraId="41399566">
      <w:pPr>
        <w:pStyle w:val="11"/>
        <w:shd w:val="clear" w:color="auto" w:fill="FFFFFF"/>
        <w:spacing w:before="0" w:beforeAutospacing="0" w:after="0" w:afterAutospacing="0" w:line="420" w:lineRule="exact"/>
        <w:ind w:firstLine="200"/>
        <w:rPr>
          <w:rFonts w:ascii="宋体" w:hAnsi="宋体"/>
          <w:b/>
          <w:bCs/>
          <w:color w:val="000000"/>
          <w:spacing w:val="12"/>
          <w:sz w:val="21"/>
          <w:szCs w:val="21"/>
          <w:highlight w:val="none"/>
        </w:rPr>
      </w:pPr>
      <w:r>
        <w:rPr>
          <w:rFonts w:hint="eastAsia" w:ascii="宋体" w:hAnsi="宋体"/>
          <w:b/>
          <w:color w:val="000000"/>
          <w:sz w:val="21"/>
          <w:szCs w:val="21"/>
          <w:highlight w:val="none"/>
          <w:lang w:val="en-US" w:eastAsia="zh-CN"/>
        </w:rPr>
        <w:t>八</w:t>
      </w:r>
      <w:r>
        <w:rPr>
          <w:rFonts w:ascii="宋体" w:hAnsi="宋体"/>
          <w:b/>
          <w:color w:val="000000"/>
          <w:sz w:val="21"/>
          <w:szCs w:val="21"/>
          <w:highlight w:val="none"/>
        </w:rPr>
        <w:t>、纠纷的解决</w:t>
      </w:r>
    </w:p>
    <w:p w14:paraId="074D165A">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如在合同履行过程中发生争议，双方应本着实事求是的态度友好协商解决</w:t>
      </w:r>
      <w:r>
        <w:rPr>
          <w:rFonts w:hint="eastAsia" w:ascii="宋体" w:hAnsi="宋体"/>
          <w:color w:val="000000"/>
          <w:sz w:val="21"/>
          <w:szCs w:val="21"/>
          <w:highlight w:val="none"/>
        </w:rPr>
        <w:t>；</w:t>
      </w:r>
      <w:r>
        <w:rPr>
          <w:rFonts w:ascii="宋体" w:hAnsi="宋体"/>
          <w:color w:val="000000"/>
          <w:sz w:val="21"/>
          <w:szCs w:val="21"/>
          <w:highlight w:val="none"/>
        </w:rPr>
        <w:t>如协商不成，应向</w:t>
      </w:r>
      <w:r>
        <w:rPr>
          <w:rFonts w:hint="eastAsia" w:ascii="宋体" w:hAnsi="宋体"/>
          <w:color w:val="000000"/>
          <w:sz w:val="21"/>
          <w:szCs w:val="21"/>
          <w:highlight w:val="none"/>
        </w:rPr>
        <w:t>甲方所在地有管辖权的人民法院起诉</w:t>
      </w:r>
      <w:r>
        <w:rPr>
          <w:rFonts w:ascii="宋体" w:hAnsi="宋体"/>
          <w:color w:val="000000"/>
          <w:sz w:val="21"/>
          <w:szCs w:val="21"/>
          <w:highlight w:val="none"/>
        </w:rPr>
        <w:t>。</w:t>
      </w:r>
    </w:p>
    <w:p w14:paraId="7D711E85">
      <w:pPr>
        <w:pStyle w:val="11"/>
        <w:shd w:val="clear" w:color="auto" w:fill="FFFFFF"/>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九</w:t>
      </w:r>
      <w:r>
        <w:rPr>
          <w:rFonts w:ascii="宋体" w:hAnsi="宋体"/>
          <w:b/>
          <w:color w:val="000000"/>
          <w:sz w:val="21"/>
          <w:szCs w:val="21"/>
          <w:highlight w:val="none"/>
        </w:rPr>
        <w:t>、通知及送达</w:t>
      </w:r>
    </w:p>
    <w:p w14:paraId="3A73AF1E">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双方同意合同</w:t>
      </w:r>
      <w:r>
        <w:rPr>
          <w:rFonts w:hint="eastAsia" w:ascii="宋体" w:hAnsi="宋体"/>
          <w:color w:val="000000"/>
          <w:sz w:val="21"/>
          <w:szCs w:val="21"/>
          <w:highlight w:val="none"/>
        </w:rPr>
        <w:t>中任一</w:t>
      </w:r>
      <w:r>
        <w:rPr>
          <w:rFonts w:ascii="宋体" w:hAnsi="宋体"/>
          <w:color w:val="000000"/>
          <w:sz w:val="21"/>
          <w:szCs w:val="21"/>
          <w:highlight w:val="none"/>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highlight w:val="none"/>
        </w:rPr>
        <w:t>及时</w:t>
      </w:r>
      <w:r>
        <w:rPr>
          <w:rFonts w:ascii="宋体" w:hAnsi="宋体"/>
          <w:color w:val="000000"/>
          <w:sz w:val="21"/>
          <w:szCs w:val="21"/>
          <w:highlight w:val="none"/>
        </w:rPr>
        <w:t>以书面形式通知另一方，若未通知的，变更前的送达地址仍为有效送达地址。</w:t>
      </w:r>
    </w:p>
    <w:p w14:paraId="66A27841">
      <w:pPr>
        <w:pStyle w:val="14"/>
        <w:shd w:val="clear" w:color="auto" w:fill="FFFFFF"/>
        <w:spacing w:before="0" w:beforeAutospacing="0" w:after="0" w:afterAutospacing="0" w:line="420" w:lineRule="exact"/>
        <w:ind w:firstLine="200"/>
        <w:rPr>
          <w:rFonts w:ascii="宋体" w:hAnsi="宋体"/>
          <w:b/>
          <w:bCs/>
          <w:color w:val="000000"/>
          <w:sz w:val="21"/>
          <w:szCs w:val="21"/>
          <w:highlight w:val="none"/>
        </w:rPr>
      </w:pPr>
      <w:r>
        <w:rPr>
          <w:rFonts w:hint="eastAsia" w:ascii="宋体" w:hAnsi="宋体"/>
          <w:b/>
          <w:bCs/>
          <w:color w:val="000000"/>
          <w:sz w:val="21"/>
          <w:szCs w:val="21"/>
          <w:highlight w:val="none"/>
        </w:rPr>
        <w:t>十</w:t>
      </w:r>
      <w:r>
        <w:rPr>
          <w:rFonts w:ascii="宋体" w:hAnsi="宋体"/>
          <w:b/>
          <w:bCs/>
          <w:color w:val="000000"/>
          <w:sz w:val="21"/>
          <w:szCs w:val="21"/>
          <w:highlight w:val="none"/>
        </w:rPr>
        <w:t>、</w:t>
      </w:r>
      <w:r>
        <w:rPr>
          <w:rFonts w:hint="eastAsia" w:ascii="宋体" w:hAnsi="宋体"/>
          <w:b/>
          <w:bCs/>
          <w:color w:val="000000"/>
          <w:sz w:val="21"/>
          <w:szCs w:val="21"/>
          <w:highlight w:val="none"/>
        </w:rPr>
        <w:t>廉洁条款</w:t>
      </w:r>
    </w:p>
    <w:p w14:paraId="7E3A90D9">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甲、乙双方应严格遵守《中华人民共和国反不正当竞争法》等相关法律法规关于禁止商业贿赂行为的规定，坚决拒绝商业贿赂、行贿及其他不正当之商业行为。</w:t>
      </w:r>
    </w:p>
    <w:p w14:paraId="28BF489B">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6914251C">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w:t>
      </w:r>
      <w:r>
        <w:rPr>
          <w:rFonts w:ascii="宋体" w:hAnsi="宋体"/>
          <w:color w:val="000000"/>
          <w:sz w:val="21"/>
          <w:szCs w:val="21"/>
          <w:highlight w:val="none"/>
        </w:rPr>
        <w:t>若甲方人员要求乙方或其人员给予其任何形式的不正当利益，乙方应向甲方相关监察部门举报。甲方依据乙方提供信息和相关证据查实后将及时公正处理；甲方将为乙方的举报严格保密，并视情况给予奖励。</w:t>
      </w:r>
    </w:p>
    <w:p w14:paraId="3F15A553">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2BC2FBA5">
      <w:pPr>
        <w:pStyle w:val="11"/>
        <w:shd w:val="clear" w:color="auto" w:fill="FFFFFF"/>
        <w:spacing w:before="0" w:beforeAutospacing="0" w:after="0" w:afterAutospacing="0" w:line="420" w:lineRule="exact"/>
        <w:ind w:firstLine="200"/>
        <w:rPr>
          <w:rFonts w:ascii="宋体" w:hAnsi="宋体"/>
          <w:b/>
          <w:color w:val="000000"/>
          <w:sz w:val="21"/>
          <w:szCs w:val="21"/>
          <w:highlight w:val="none"/>
        </w:rPr>
      </w:pPr>
      <w:r>
        <w:rPr>
          <w:rFonts w:ascii="宋体" w:hAnsi="宋体"/>
          <w:b/>
          <w:color w:val="000000"/>
          <w:sz w:val="21"/>
          <w:szCs w:val="21"/>
          <w:highlight w:val="none"/>
        </w:rPr>
        <w:t>十</w:t>
      </w:r>
      <w:r>
        <w:rPr>
          <w:rFonts w:hint="eastAsia" w:ascii="宋体" w:hAnsi="宋体"/>
          <w:b/>
          <w:color w:val="000000"/>
          <w:sz w:val="21"/>
          <w:szCs w:val="21"/>
          <w:highlight w:val="none"/>
          <w:lang w:val="en-US" w:eastAsia="zh-CN"/>
        </w:rPr>
        <w:t>一</w:t>
      </w:r>
      <w:r>
        <w:rPr>
          <w:rFonts w:ascii="宋体" w:hAnsi="宋体"/>
          <w:b/>
          <w:color w:val="000000"/>
          <w:sz w:val="21"/>
          <w:szCs w:val="21"/>
          <w:highlight w:val="none"/>
        </w:rPr>
        <w:t>、其他</w:t>
      </w:r>
    </w:p>
    <w:p w14:paraId="224BBC19">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.甲方在中华人民共和国境内使用投标人提供的货物及服务时免受第三方提出的侵犯其专利权或其它知识产权的起诉。如果第三方提出侵权指控，乙方应承担由此而引起的一切法律责任和费用。</w:t>
      </w:r>
      <w:r>
        <w:rPr>
          <w:rFonts w:hint="eastAsia" w:ascii="宋体" w:hAnsi="宋体"/>
          <w:color w:val="000000"/>
          <w:sz w:val="21"/>
          <w:szCs w:val="21"/>
          <w:highlight w:val="none"/>
          <w:lang w:val="en-US" w:eastAsia="zh-CN"/>
        </w:rPr>
        <w:t>甲方若承担责任的，有权向乙方追偿。</w:t>
      </w:r>
    </w:p>
    <w:p w14:paraId="522DB789">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.乙方对其提供货物的</w:t>
      </w:r>
      <w:r>
        <w:rPr>
          <w:rFonts w:ascii="宋体" w:hAnsi="宋体"/>
          <w:color w:val="000000"/>
          <w:sz w:val="21"/>
          <w:szCs w:val="21"/>
          <w:highlight w:val="none"/>
        </w:rPr>
        <w:t>栽植、管养护、病虫害防治</w:t>
      </w:r>
      <w:r>
        <w:rPr>
          <w:rFonts w:hint="eastAsia" w:ascii="宋体" w:hAnsi="宋体"/>
          <w:color w:val="000000"/>
          <w:sz w:val="21"/>
          <w:szCs w:val="21"/>
          <w:highlight w:val="none"/>
        </w:rPr>
        <w:t>等尽培训义务。乙方应提供对甲方或栽植管养护人员的基本免费培训，使前述人员能够正常操作</w:t>
      </w:r>
      <w:r>
        <w:rPr>
          <w:rFonts w:ascii="宋体" w:hAnsi="宋体"/>
          <w:color w:val="000000"/>
          <w:sz w:val="21"/>
          <w:szCs w:val="21"/>
          <w:highlight w:val="none"/>
        </w:rPr>
        <w:t>栽植、管养护</w:t>
      </w:r>
      <w:r>
        <w:rPr>
          <w:rFonts w:hint="eastAsia" w:ascii="宋体" w:hAnsi="宋体"/>
          <w:color w:val="000000"/>
          <w:sz w:val="21"/>
          <w:szCs w:val="21"/>
          <w:highlight w:val="none"/>
        </w:rPr>
        <w:t>。</w:t>
      </w:r>
    </w:p>
    <w:p w14:paraId="4D672996">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ascii="宋体" w:hAnsi="宋体"/>
          <w:color w:val="000000"/>
          <w:sz w:val="21"/>
          <w:szCs w:val="21"/>
          <w:highlight w:val="none"/>
        </w:rPr>
        <w:t>本合同自双方签字</w:t>
      </w:r>
      <w:r>
        <w:rPr>
          <w:rFonts w:hint="eastAsia" w:ascii="宋体" w:hAnsi="宋体"/>
          <w:color w:val="000000"/>
          <w:sz w:val="21"/>
          <w:szCs w:val="21"/>
          <w:highlight w:val="none"/>
        </w:rPr>
        <w:t>或者盖章之时成立并生</w:t>
      </w:r>
      <w:r>
        <w:rPr>
          <w:rFonts w:ascii="宋体" w:hAnsi="宋体"/>
          <w:color w:val="000000"/>
          <w:sz w:val="21"/>
          <w:szCs w:val="21"/>
          <w:highlight w:val="none"/>
        </w:rPr>
        <w:t>效，壹式肆份，各执贰份</w:t>
      </w:r>
      <w:r>
        <w:rPr>
          <w:rFonts w:hint="eastAsia" w:ascii="宋体" w:hAnsi="宋体"/>
          <w:color w:val="000000"/>
          <w:sz w:val="21"/>
          <w:szCs w:val="21"/>
          <w:highlight w:val="none"/>
        </w:rPr>
        <w:t>，具有同等法律效力</w:t>
      </w:r>
      <w:r>
        <w:rPr>
          <w:rFonts w:ascii="宋体" w:hAnsi="宋体"/>
          <w:color w:val="000000"/>
          <w:sz w:val="21"/>
          <w:szCs w:val="21"/>
          <w:highlight w:val="none"/>
        </w:rPr>
        <w:t>。</w:t>
      </w:r>
    </w:p>
    <w:p w14:paraId="7699A0C0">
      <w:pPr>
        <w:pStyle w:val="11"/>
        <w:shd w:val="clear" w:color="auto" w:fill="FFFFFF"/>
        <w:spacing w:before="0" w:beforeAutospacing="0" w:after="0" w:afterAutospacing="0" w:line="400" w:lineRule="exact"/>
        <w:ind w:firstLine="420" w:firstLineChars="200"/>
        <w:rPr>
          <w:rFonts w:hint="eastAsia" w:eastAsia="宋体"/>
          <w:color w:val="000000"/>
          <w:sz w:val="21"/>
          <w:szCs w:val="21"/>
          <w:highlight w:val="none"/>
          <w:lang w:val="en-US" w:eastAsia="zh-CN"/>
        </w:rPr>
      </w:pPr>
      <w:r>
        <w:rPr>
          <w:rFonts w:hint="eastAsia"/>
          <w:color w:val="000000"/>
          <w:sz w:val="21"/>
          <w:szCs w:val="21"/>
          <w:highlight w:val="none"/>
          <w:lang w:val="en-US" w:eastAsia="zh-CN"/>
        </w:rPr>
        <w:t>附件：《重庆市林业投资开发有限责任公司苗木管理办法(试行）》</w:t>
      </w:r>
    </w:p>
    <w:p w14:paraId="1B9EC998">
      <w:pPr>
        <w:pStyle w:val="11"/>
        <w:shd w:val="clear" w:color="auto" w:fill="FFFFFF"/>
        <w:spacing w:before="0" w:beforeAutospacing="0" w:after="0" w:afterAutospacing="0" w:line="400" w:lineRule="exact"/>
        <w:ind w:firstLine="420" w:firstLineChars="200"/>
        <w:rPr>
          <w:rFonts w:ascii="等线" w:hAnsi="等线" w:eastAsia="等线" w:cs="等线"/>
          <w:color w:val="000000"/>
          <w:sz w:val="21"/>
          <w:szCs w:val="21"/>
          <w:highlight w:val="none"/>
        </w:rPr>
      </w:pPr>
    </w:p>
    <w:p w14:paraId="2B166956">
      <w:pPr>
        <w:pStyle w:val="11"/>
        <w:shd w:val="clear" w:color="auto" w:fill="FFFFFF"/>
        <w:spacing w:before="0" w:beforeAutospacing="0" w:after="0" w:afterAutospacing="0" w:line="400" w:lineRule="exact"/>
        <w:ind w:firstLine="420" w:firstLineChars="200"/>
        <w:rPr>
          <w:color w:val="000000"/>
          <w:sz w:val="20"/>
          <w:highlight w:val="none"/>
        </w:rPr>
      </w:pPr>
      <w:r>
        <w:rPr>
          <w:color w:val="000000"/>
          <w:sz w:val="21"/>
          <w:szCs w:val="21"/>
          <w:highlight w:val="none"/>
        </w:rPr>
        <w:t xml:space="preserve">甲方：重庆市林业投资开发有限责任公司      </w:t>
      </w:r>
      <w:r>
        <w:rPr>
          <w:rFonts w:hint="eastAsia"/>
          <w:color w:val="000000"/>
          <w:sz w:val="21"/>
          <w:szCs w:val="21"/>
          <w:highlight w:val="none"/>
        </w:rPr>
        <w:t xml:space="preserve">  </w:t>
      </w:r>
      <w:r>
        <w:rPr>
          <w:color w:val="000000"/>
          <w:sz w:val="21"/>
          <w:szCs w:val="21"/>
          <w:highlight w:val="none"/>
        </w:rPr>
        <w:t>乙方：</w:t>
      </w:r>
    </w:p>
    <w:p w14:paraId="0DBAB7B7">
      <w:pPr>
        <w:pStyle w:val="11"/>
        <w:shd w:val="clear" w:color="auto" w:fill="FFFFFF"/>
        <w:spacing w:before="0" w:beforeAutospacing="0" w:after="0" w:afterAutospacing="0" w:line="400" w:lineRule="exact"/>
        <w:ind w:firstLine="630" w:firstLineChars="300"/>
        <w:rPr>
          <w:color w:val="000000"/>
          <w:sz w:val="21"/>
          <w:szCs w:val="21"/>
          <w:highlight w:val="none"/>
        </w:rPr>
      </w:pPr>
    </w:p>
    <w:p w14:paraId="5F5C96B8">
      <w:pPr>
        <w:pStyle w:val="11"/>
        <w:shd w:val="clear" w:color="auto" w:fill="FFFFFF"/>
        <w:spacing w:before="0" w:beforeAutospacing="0" w:after="0" w:afterAutospacing="0" w:line="400" w:lineRule="exact"/>
        <w:ind w:firstLine="630" w:firstLineChars="300"/>
        <w:rPr>
          <w:color w:val="000000"/>
          <w:sz w:val="21"/>
          <w:szCs w:val="21"/>
          <w:highlight w:val="none"/>
        </w:rPr>
      </w:pPr>
    </w:p>
    <w:p w14:paraId="2A444418">
      <w:pPr>
        <w:pStyle w:val="11"/>
        <w:shd w:val="clear" w:color="auto" w:fill="FFFFFF"/>
        <w:spacing w:before="0" w:beforeAutospacing="0" w:after="0" w:afterAutospacing="0" w:line="400" w:lineRule="exact"/>
        <w:ind w:firstLine="420" w:firstLineChars="200"/>
        <w:rPr>
          <w:color w:val="000000"/>
          <w:sz w:val="21"/>
          <w:szCs w:val="21"/>
          <w:highlight w:val="none"/>
        </w:rPr>
      </w:pP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r>
        <w:rPr>
          <w:rFonts w:hint="eastAsia"/>
          <w:color w:val="000000"/>
          <w:sz w:val="21"/>
          <w:szCs w:val="21"/>
          <w:highlight w:val="none"/>
        </w:rPr>
        <w:t xml:space="preserve">       </w:t>
      </w: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p>
    <w:p w14:paraId="069CE45E">
      <w:pPr>
        <w:pStyle w:val="11"/>
        <w:shd w:val="clear" w:color="auto" w:fill="FFFFFF"/>
        <w:spacing w:before="0" w:beforeAutospacing="0" w:after="0" w:afterAutospacing="0" w:line="400" w:lineRule="exact"/>
        <w:ind w:firstLine="420" w:firstLineChars="200"/>
        <w:rPr>
          <w:color w:val="000000"/>
          <w:highlight w:val="none"/>
        </w:rPr>
      </w:pPr>
      <w:r>
        <w:rPr>
          <w:color w:val="000000"/>
          <w:sz w:val="21"/>
          <w:szCs w:val="21"/>
          <w:highlight w:val="none"/>
        </w:rPr>
        <w:t xml:space="preserve">签订日期：    年    月    日                签订日期：    年     月   日 </w:t>
      </w:r>
    </w:p>
    <w:p w14:paraId="0AD15D5A">
      <w:pPr>
        <w:widowControl/>
        <w:spacing w:line="360" w:lineRule="auto"/>
        <w:ind w:firstLine="3162" w:firstLineChars="1500"/>
        <w:rPr>
          <w:rFonts w:ascii="宋体" w:hAnsi="宋体"/>
          <w:b/>
          <w:color w:val="000000"/>
          <w:kern w:val="0"/>
          <w:szCs w:val="21"/>
          <w:highlight w:val="none"/>
        </w:rPr>
      </w:pPr>
    </w:p>
    <w:p w14:paraId="04560F44">
      <w:pPr>
        <w:pStyle w:val="4"/>
        <w:rPr>
          <w:color w:val="000000"/>
          <w:highlight w:val="none"/>
        </w:rPr>
      </w:pPr>
    </w:p>
    <w:p w14:paraId="2606EE6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47CE4335"/>
    <w:rsid w:val="013066CA"/>
    <w:rsid w:val="06964ACC"/>
    <w:rsid w:val="07936537"/>
    <w:rsid w:val="0ADA52E3"/>
    <w:rsid w:val="0CDA455E"/>
    <w:rsid w:val="12CF5CED"/>
    <w:rsid w:val="1D37200B"/>
    <w:rsid w:val="25EA249A"/>
    <w:rsid w:val="27CB17EE"/>
    <w:rsid w:val="39A85146"/>
    <w:rsid w:val="3B176B31"/>
    <w:rsid w:val="47CE4335"/>
    <w:rsid w:val="4DA863AD"/>
    <w:rsid w:val="4FB4044E"/>
    <w:rsid w:val="5BB45A6D"/>
    <w:rsid w:val="5C4105AC"/>
    <w:rsid w:val="68482658"/>
    <w:rsid w:val="6D7EFCDA"/>
    <w:rsid w:val="731F0428"/>
    <w:rsid w:val="7B4F694B"/>
    <w:rsid w:val="F99E79AF"/>
    <w:rsid w:val="FF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rPr>
      <w:sz w:val="26"/>
    </w:rPr>
  </w:style>
  <w:style w:type="paragraph" w:customStyle="1" w:styleId="7">
    <w:name w:val="reader-word-layer reader-word-s1-21"/>
    <w:basedOn w:val="1"/>
    <w:unhideWhenUsed/>
    <w:qFormat/>
    <w:uiPriority w:val="0"/>
    <w:pPr>
      <w:spacing w:before="100" w:beforeAutospacing="1" w:after="100" w:afterAutospacing="1"/>
    </w:pPr>
    <w:rPr>
      <w:rFonts w:hint="eastAsia"/>
      <w:sz w:val="24"/>
    </w:rPr>
  </w:style>
  <w:style w:type="paragraph" w:customStyle="1" w:styleId="8">
    <w:name w:val="reader-word-layer reader-word-s1-16 reader-word-s1-21 reader-word-s1-2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9">
    <w:name w:val="reader-word-layer reader-word-s2-1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0">
    <w:name w:val="reader-word-layer reader-word-s2-15"/>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1">
    <w:name w:val="reader-word-layer reader-word-s3-13"/>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2">
    <w:name w:val="reader-word-layer reader-word-s2-17"/>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3">
    <w:name w:val="reader-word-layer reader-word-s2-11"/>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4">
    <w:name w:val="reader-word-layer reader-word-s3-12"/>
    <w:basedOn w:val="1"/>
    <w:qFormat/>
    <w:uiPriority w:val="0"/>
    <w:pPr>
      <w:widowControl/>
      <w:spacing w:before="100" w:beforeAutospacing="1" w:after="100" w:afterAutospacing="1"/>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2865</Words>
  <Characters>2895</Characters>
  <Lines>0</Lines>
  <Paragraphs>0</Paragraphs>
  <TotalTime>0</TotalTime>
  <ScaleCrop>false</ScaleCrop>
  <LinksUpToDate>false</LinksUpToDate>
  <CharactersWithSpaces>3151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2023-09-06T09:34:00Z</dcterms:created>
  <dc:creator>鱼儿空中游</dc:creator>
  <cp:lastModifiedBy>丞丞丞</cp:lastModifiedBy>
  <dcterms:modified xsi:type="dcterms:W3CDTF">2026-04-02T02:09:29Z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214ADA2392CEB0CA0E122665EC526528_43</vt:lpwstr>
  </property>
  <property fmtid="{D5CDD505-2E9C-101B-9397-08002B2CF9AE}" pid="4" name="KSOTemplateDocerSaveRecord">
    <vt:lpwstr>eyJoZGlkIjoiZjA0OGNhZjY0YmRkOGJmYjVjM2E0OWJmYzk3NTczMmYiLCJ1c2VySWQiOiI1NjU0OTUyMzIifQ==</vt:lpwstr>
  </property>
</Properties>
</file>